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5E06CA6"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1E2F7F" w:rsidRPr="001E2F7F">
        <w:rPr>
          <w:rFonts w:ascii="Arial" w:hAnsi="Arial" w:cs="Arial"/>
          <w:b/>
          <w:sz w:val="22"/>
          <w:szCs w:val="22"/>
        </w:rPr>
        <w:t>Obnova arkadnih hodnikov in terase gradu Brežice</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D3471D1"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1A7121">
        <w:rPr>
          <w:rFonts w:ascii="Arial" w:hAnsi="Arial" w:cs="Arial"/>
          <w:sz w:val="22"/>
          <w:szCs w:val="22"/>
        </w:rPr>
        <w:t>naročila JN002</w:t>
      </w:r>
      <w:r w:rsidR="001A7121" w:rsidRPr="001A7121">
        <w:rPr>
          <w:rFonts w:ascii="Arial" w:hAnsi="Arial" w:cs="Arial"/>
          <w:sz w:val="22"/>
          <w:szCs w:val="22"/>
        </w:rPr>
        <w:t>863</w:t>
      </w:r>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8A338-A842-4FCA-A803-7497FDEA7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575</Words>
  <Characters>3284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23</cp:revision>
  <dcterms:created xsi:type="dcterms:W3CDTF">2016-05-25T22:41:00Z</dcterms:created>
  <dcterms:modified xsi:type="dcterms:W3CDTF">2019-05-08T09:13:00Z</dcterms:modified>
</cp:coreProperties>
</file>